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F087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B120DD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山东省普觉公益基金会</w:t>
      </w:r>
    </w:p>
    <w:p w14:paraId="5F7E6E21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年度</w:t>
      </w:r>
      <w:r>
        <w:rPr>
          <w:rFonts w:hint="eastAsia" w:ascii="黑体" w:hAnsi="黑体" w:eastAsia="黑体" w:cs="黑体"/>
          <w:sz w:val="36"/>
          <w:szCs w:val="36"/>
        </w:rPr>
        <w:t>财务报告</w:t>
      </w:r>
    </w:p>
    <w:p w14:paraId="15F94A7C"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是基金会深化内部治理、聚焦公益效能的关键一年。面对复杂的外部环境，基金会坚持“稳中求进、提质增效”的财务工作方针，在保障资金安全的前提下，大幅提高公益支出规模，确保捐赠资源高效转化为社会效益。</w:t>
      </w:r>
    </w:p>
    <w:p w14:paraId="35CD8DCF"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2025年基金会财务工作恪守以下核心规范：</w:t>
      </w:r>
    </w:p>
    <w:p w14:paraId="6B2AEC56">
      <w:pPr>
        <w:spacing w:line="52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法律层面：《中华人民共和国慈善法》、《公益事业捐赠法》；行政法规层面：《基金会管理条例》、《关于慈善组织开展慈善活动年度支出和管理费用的规定》（民发〔2016〕189号）；会计制度层面：《民间非营利组织会计制度》；内部治理层面：《山东省普觉公益基金会章程》及内部《财务管理制度》、《项目管理办法》。</w:t>
      </w:r>
    </w:p>
    <w:p w14:paraId="5F88FD2B">
      <w:pPr>
        <w:spacing w:line="52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基金会以权责发生制为基础进行会计核算，所有财务数据均经合规审计流程复核，确保真实、准确、完整。</w:t>
      </w:r>
    </w:p>
    <w:p w14:paraId="6435492D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年财务主要指标情况如下：</w:t>
      </w:r>
    </w:p>
    <w:p w14:paraId="35090B2C">
      <w:pPr>
        <w:numPr>
          <w:ilvl w:val="0"/>
          <w:numId w:val="1"/>
        </w:numPr>
        <w:spacing w:line="52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基金会主要财务指标</w:t>
      </w:r>
    </w:p>
    <w:p w14:paraId="06081E7D">
      <w:pPr>
        <w:numPr>
          <w:ilvl w:val="0"/>
          <w:numId w:val="0"/>
        </w:numPr>
        <w:spacing w:line="52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基金会全年实现总收入1,806,487.26元，总支出2,339,478.85元，净资产总额2,007,622.51元，公益事业支出占上年末净资产的比例89.3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%，管理费占比2.97%。</w:t>
      </w:r>
    </w:p>
    <w:p w14:paraId="252649C4">
      <w:pPr>
        <w:keepNext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核心财务数据总览表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92"/>
        <w:gridCol w:w="4435"/>
      </w:tblGrid>
      <w:tr w14:paraId="06F5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10F0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项目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C30F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2025年度金额（元）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204C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简要分析</w:t>
            </w:r>
          </w:p>
        </w:tc>
      </w:tr>
      <w:tr w14:paraId="7E31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10AA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总收入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DEDF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1,806,487.26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8F17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收入结构健康，以捐赠为主</w:t>
            </w:r>
          </w:p>
        </w:tc>
      </w:tr>
      <w:tr w14:paraId="0222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90E0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总支出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377F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2,339,478.85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1D1D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公益支出力度显著加大</w:t>
            </w:r>
          </w:p>
        </w:tc>
      </w:tr>
      <w:tr w14:paraId="1CA8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C988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公益事业支出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1614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2,270,997.91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2F7A2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核心使命履行充分</w:t>
            </w:r>
          </w:p>
        </w:tc>
      </w:tr>
      <w:tr w14:paraId="3F74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6D5B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管理费用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9110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67,471.82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50C3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控制得力，占比极低</w:t>
            </w:r>
          </w:p>
        </w:tc>
      </w:tr>
      <w:tr w14:paraId="56FE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1E27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年度净资产变动额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D756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-532,991.59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496A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支出大于收入，体现资源投放决心</w:t>
            </w:r>
          </w:p>
        </w:tc>
      </w:tr>
      <w:tr w14:paraId="2107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F45A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年末净资产总额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110E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2,007,622.51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408A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动用存量资源支持公益，符合非营利组织特性</w:t>
            </w:r>
          </w:p>
        </w:tc>
      </w:tr>
      <w:tr w14:paraId="382F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A7AE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年末货币资金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697C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2,075,482.23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637B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与净资产变动趋势一致，现金流安全可控</w:t>
            </w:r>
          </w:p>
        </w:tc>
      </w:tr>
    </w:tbl>
    <w:p w14:paraId="5539486E">
      <w:pPr>
        <w:spacing w:line="52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财务表现呈现出“收入稳、支出增、存量补”的鲜明特征。基金会没有片面追求净资产增长，而是将资金积累积极、精准地投入到公益项目中，年度公益支出较上年激增36.53%，充分体现了基金会的公益属性与执行效率。年末净资产虽有所下降，但规模（超200万元）仍远高于原始基金要求，财务根基稳固。</w:t>
      </w:r>
    </w:p>
    <w:p w14:paraId="46F39054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、基金会收入指标</w:t>
      </w:r>
    </w:p>
    <w:p w14:paraId="7BDE8266"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年基金会共计取得收入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1,806,487.26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元，其中：接受各方捐赠收入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1,775,958.00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元（其中：限定性收入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元，非限定性收入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1,775,958.00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元）；其他收入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30,529.26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(其中利息收入：15,833.43元，基金管理费用转收入10,702.61元，其他收入3,993.22元）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39D934"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2025年，基金会共实现收入1,806,487.26元。所有收入均为非限定性收入，为基金会灵活规划公益项目提供了坚实基础。</w:t>
      </w:r>
    </w:p>
    <w:p w14:paraId="3208ECEA"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收入实现30,529.26元(其中利息收入：15,833.43元，基金管理费用转收入10,702.61元，其他收入3,993.22元）占总收入的1.69%：主要包括银行存款利息收入、基金管理费用转收入等，是基金会稳健理财和规范管理的副产物。</w:t>
      </w:r>
    </w:p>
    <w:p w14:paraId="48C9A693">
      <w:pPr>
        <w:spacing w:line="52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基金会为实现财产保值、增值，在保持日常项目正常开展的前提下，将其中150万元用于稳健理财产品，取得理财收益为15,279.34元。</w:t>
      </w:r>
    </w:p>
    <w:tbl>
      <w:tblPr>
        <w:tblStyle w:val="4"/>
        <w:tblW w:w="87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2524"/>
        <w:gridCol w:w="1156"/>
        <w:gridCol w:w="1300"/>
        <w:gridCol w:w="1075"/>
        <w:gridCol w:w="2225"/>
      </w:tblGrid>
      <w:tr w14:paraId="4CCD6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F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  <w:p w14:paraId="62CE4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年捐赠收入明细表</w:t>
            </w:r>
          </w:p>
        </w:tc>
      </w:tr>
      <w:tr w14:paraId="144BE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5E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A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7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A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2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1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单位：元</w:t>
            </w:r>
          </w:p>
        </w:tc>
      </w:tr>
      <w:tr w14:paraId="58F72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8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1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捐赠基金或捐赠人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捐赠收入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7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17A0B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0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6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41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4A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非限定性捐赠收入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3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限定性捐赠收入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2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10C2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烟台美的森眼科医院有限公司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4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320000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7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320000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8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8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6B2B4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C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7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艾多美（中国）有限公司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FE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300000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5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300000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7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0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</w:p>
        </w:tc>
      </w:tr>
      <w:tr w14:paraId="0E09C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E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5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姜小鸿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D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260000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B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260000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8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9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</w:p>
        </w:tc>
      </w:tr>
      <w:tr w14:paraId="7F521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1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4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上海远锐企业管理咨询有限公司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D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220000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C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220000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D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C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</w:p>
        </w:tc>
      </w:tr>
      <w:tr w14:paraId="680EB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3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3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烟台市莱山区敬仰志愿军老兵帮扶计划公益服务中心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9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220000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E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220000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B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14F3C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46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9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山东鲁汇律师事务所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B6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150000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9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150000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3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C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2D7FF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4C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E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济南百利顺医疗器械有限公司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1A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7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E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3F24C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7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D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烟台市中大物业管理有限公司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C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2F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C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47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6E66E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6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2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烟台佳恒控股有限公司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D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20580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4F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20580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99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A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66A53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15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A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李广珍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2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2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9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2C81C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F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F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辉藤科技服务（山东）有限公司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F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E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A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D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28EB8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5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季瑞友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B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9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列入专项基金</w:t>
            </w:r>
          </w:p>
        </w:tc>
      </w:tr>
      <w:tr w14:paraId="05996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2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BC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社会爱心个人捐款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C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65378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4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65378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C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64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/>
              </w:rPr>
              <w:t>部分捐款列入专项基金</w:t>
            </w:r>
          </w:p>
        </w:tc>
      </w:tr>
      <w:tr w14:paraId="780A6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F1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3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2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1775958.00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0C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1775958.00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0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7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FEFC707"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、基金会支出指标</w:t>
      </w:r>
    </w:p>
    <w:p w14:paraId="670A5458">
      <w:pPr>
        <w:spacing w:line="52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2025年基金会财务支出主要是提高服务效率，落实项目资金支出早日惠及受捐人，坚持做到捐赠人安心受捐人暖心的，完成支出合规有据项目有序推进。</w:t>
      </w:r>
    </w:p>
    <w:p w14:paraId="3519B5F2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（一）支出总体情况</w:t>
      </w:r>
    </w:p>
    <w:p w14:paraId="2056D4EE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基金会2025年总支出为2,339,478.85元，其中：公益事业支出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2270997.91</w:t>
      </w:r>
      <w:r>
        <w:rPr>
          <w:rFonts w:hint="eastAsia" w:ascii="仿宋" w:hAnsi="仿宋" w:eastAsia="仿宋" w:cs="仿宋"/>
          <w:sz w:val="32"/>
          <w:szCs w:val="32"/>
        </w:rPr>
        <w:t>元，管理费用支出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67471.82</w:t>
      </w:r>
      <w:r>
        <w:rPr>
          <w:rFonts w:hint="eastAsia" w:ascii="仿宋" w:hAnsi="仿宋" w:eastAsia="仿宋" w:cs="仿宋"/>
          <w:sz w:val="32"/>
          <w:szCs w:val="32"/>
        </w:rPr>
        <w:t>元，其他费用（即手续费）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1009.12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tbl>
      <w:tblPr>
        <w:tblStyle w:val="4"/>
        <w:tblW w:w="82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322"/>
        <w:gridCol w:w="1173"/>
        <w:gridCol w:w="1309"/>
        <w:gridCol w:w="1081"/>
        <w:gridCol w:w="910"/>
        <w:gridCol w:w="968"/>
      </w:tblGrid>
      <w:tr w14:paraId="7841F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06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8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支出费用合计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业务活动支出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管理费用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33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其他费用</w:t>
            </w:r>
          </w:p>
        </w:tc>
      </w:tr>
      <w:tr w14:paraId="10D2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7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D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0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非限定性支出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2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限定性支出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8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1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B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A4F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9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业务活动支出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0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04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BF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89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A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9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3501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17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管理费用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4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67471.82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03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2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B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4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67471.82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E0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2B5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3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3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1009.12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9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E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1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7E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1009.12</w:t>
            </w:r>
          </w:p>
        </w:tc>
      </w:tr>
      <w:tr w14:paraId="5FA6D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2339478.85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0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2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7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E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67471.82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F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1009.12</w:t>
            </w:r>
          </w:p>
        </w:tc>
      </w:tr>
    </w:tbl>
    <w:p w14:paraId="30373D8B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年累计发生支出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2339478.85元</w:t>
      </w:r>
      <w:r>
        <w:rPr>
          <w:rFonts w:hint="eastAsia" w:ascii="仿宋" w:hAnsi="仿宋" w:eastAsia="仿宋" w:cs="仿宋"/>
          <w:sz w:val="32"/>
          <w:szCs w:val="32"/>
        </w:rPr>
        <w:t>比去年同期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1733146.63</w:t>
      </w:r>
      <w:r>
        <w:rPr>
          <w:rFonts w:hint="eastAsia" w:ascii="仿宋" w:hAnsi="仿宋" w:eastAsia="仿宋" w:cs="仿宋"/>
          <w:sz w:val="32"/>
          <w:szCs w:val="32"/>
        </w:rPr>
        <w:t>元增加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606332.22</w:t>
      </w:r>
      <w:r>
        <w:rPr>
          <w:rFonts w:hint="eastAsia" w:ascii="仿宋" w:hAnsi="仿宋" w:eastAsia="仿宋" w:cs="仿宋"/>
          <w:sz w:val="32"/>
          <w:szCs w:val="32"/>
        </w:rPr>
        <w:t>元增幅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34.98</w:t>
      </w:r>
      <w:r>
        <w:rPr>
          <w:rFonts w:hint="eastAsia" w:ascii="仿宋" w:hAnsi="仿宋" w:eastAsia="仿宋" w:cs="仿宋"/>
          <w:sz w:val="32"/>
          <w:szCs w:val="32"/>
        </w:rPr>
        <w:t>%，具体支出情况如下：业务活动支出（公益事业支出）本年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2270997.91</w:t>
      </w:r>
      <w:r>
        <w:rPr>
          <w:rFonts w:hint="eastAsia" w:ascii="仿宋" w:hAnsi="仿宋" w:eastAsia="仿宋" w:cs="仿宋"/>
          <w:sz w:val="32"/>
          <w:szCs w:val="32"/>
        </w:rPr>
        <w:t>元比去年同期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1663326.64</w:t>
      </w:r>
      <w:r>
        <w:rPr>
          <w:rFonts w:hint="eastAsia" w:ascii="仿宋" w:hAnsi="仿宋" w:eastAsia="仿宋" w:cs="仿宋"/>
          <w:sz w:val="32"/>
          <w:szCs w:val="32"/>
        </w:rPr>
        <w:t>元增加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607671.27</w:t>
      </w:r>
      <w:r>
        <w:rPr>
          <w:rFonts w:hint="eastAsia" w:ascii="仿宋" w:hAnsi="仿宋" w:eastAsia="仿宋" w:cs="仿宋"/>
          <w:sz w:val="32"/>
          <w:szCs w:val="32"/>
        </w:rPr>
        <w:t>元增幅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36.53</w:t>
      </w:r>
      <w:r>
        <w:rPr>
          <w:rFonts w:hint="eastAsia" w:ascii="仿宋" w:hAnsi="仿宋" w:eastAsia="仿宋" w:cs="仿宋"/>
          <w:sz w:val="32"/>
          <w:szCs w:val="32"/>
        </w:rPr>
        <w:t>%；管理费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用支出67471.82元比去年同期67351.83元增加119.99元增幅0.18%；其他费用支出1009.12</w:t>
      </w:r>
      <w:r>
        <w:rPr>
          <w:rFonts w:hint="eastAsia" w:ascii="仿宋" w:hAnsi="仿宋" w:eastAsia="仿宋" w:cs="仿宋"/>
          <w:sz w:val="32"/>
          <w:szCs w:val="32"/>
        </w:rPr>
        <w:t>元比去年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同期2468.16元减少1459.04元降幅59.11%。</w:t>
      </w:r>
    </w:p>
    <w:p w14:paraId="4913EF67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（二）基金会支出分项情况</w:t>
      </w:r>
    </w:p>
    <w:p w14:paraId="489C9F56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1.业务活动支出（公益事业支出）情况</w:t>
      </w:r>
    </w:p>
    <w:p w14:paraId="045E39FC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年业务活动支出（公益事业支出）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2270997.91</w:t>
      </w:r>
      <w:r>
        <w:rPr>
          <w:rFonts w:hint="eastAsia" w:ascii="仿宋" w:hAnsi="仿宋" w:eastAsia="仿宋" w:cs="仿宋"/>
          <w:sz w:val="32"/>
          <w:szCs w:val="32"/>
        </w:rPr>
        <w:t>元，具体如下：</w:t>
      </w:r>
    </w:p>
    <w:p w14:paraId="3C61CBE3">
      <w:pPr>
        <w:ind w:firstLine="64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业务活动支出项目金额表</w:t>
      </w:r>
    </w:p>
    <w:tbl>
      <w:tblPr>
        <w:tblStyle w:val="4"/>
        <w:tblW w:w="835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418"/>
        <w:gridCol w:w="1418"/>
        <w:gridCol w:w="1491"/>
        <w:gridCol w:w="1591"/>
        <w:gridCol w:w="906"/>
      </w:tblGrid>
      <w:tr w14:paraId="0EEC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C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序号</w:t>
            </w:r>
          </w:p>
        </w:tc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0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项目名称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3E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业务活动支出（单位：元）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备注</w:t>
            </w:r>
          </w:p>
        </w:tc>
      </w:tr>
      <w:tr w14:paraId="095C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C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E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99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小计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非限定性支出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9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限定性支出</w:t>
            </w: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666A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6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6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普觉乡村振兴项目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1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127081.27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4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127081.27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31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49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CA8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F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C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普觉科教生态促进项目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355081.99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5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355081.99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F8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8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6AD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6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5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普觉“阳光”助困项目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7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393692.08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393692.08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C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9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6B7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7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2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普觉“普爱”助学项目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8F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192517.19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192517.19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F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A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81B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8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0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普觉“暖心”助老项目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F4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366055.39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3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366055.39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B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23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D81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E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9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普觉“天使”助残项目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C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339240.22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5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339240.22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C7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7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9B2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9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2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普觉“杏林”助医项目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B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497329.77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C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497329.77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D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4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9D7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0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0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A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2270997.91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5F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9B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52ABEC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按照《关于慈善组织开展慈善活动年度支出和管理费用的规定》的通知（民发〔2016〕189号）文件看，结合去年末净资产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2540614.10</w:t>
      </w:r>
      <w:r>
        <w:rPr>
          <w:rFonts w:hint="eastAsia" w:ascii="仿宋" w:hAnsi="仿宋" w:eastAsia="仿宋" w:cs="仿宋"/>
          <w:sz w:val="32"/>
          <w:szCs w:val="32"/>
        </w:rPr>
        <w:t>元，慈善活动支出不得低于上年末净资产8%，202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年我们需要完成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203249.13</w:t>
      </w:r>
      <w:r>
        <w:rPr>
          <w:rFonts w:hint="eastAsia" w:ascii="仿宋" w:hAnsi="仿宋" w:eastAsia="仿宋" w:cs="仿宋"/>
          <w:sz w:val="32"/>
          <w:szCs w:val="32"/>
        </w:rPr>
        <w:t>元，而基金会实际完成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2270997.91</w:t>
      </w:r>
      <w:r>
        <w:rPr>
          <w:rFonts w:hint="eastAsia" w:ascii="仿宋" w:hAnsi="仿宋" w:eastAsia="仿宋" w:cs="仿宋"/>
          <w:sz w:val="32"/>
          <w:szCs w:val="32"/>
        </w:rPr>
        <w:t>元，完成规定要求。</w:t>
      </w:r>
    </w:p>
    <w:p w14:paraId="3C5C7CB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2.管理费用增减变动情况</w:t>
      </w:r>
    </w:p>
    <w:p w14:paraId="38F52B8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管理费用总额67,471.82元，占公益事业支出的比例仅为2.97%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远低于《慈善法》规定的20%上限，体现了基金会极高的运营效率。管理费用主要支付内容有：</w:t>
      </w:r>
    </w:p>
    <w:tbl>
      <w:tblPr>
        <w:tblStyle w:val="4"/>
        <w:tblW w:w="8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2932"/>
        <w:gridCol w:w="2452"/>
      </w:tblGrid>
      <w:tr w14:paraId="40EE1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A5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发生金额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66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备注</w:t>
            </w:r>
          </w:p>
        </w:tc>
      </w:tr>
      <w:tr w14:paraId="51A40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A5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管理费用（单位：元）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5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67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7E75E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D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职工薪酬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E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48000.00 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8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6F00E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55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社会保障费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5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8640.00 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9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73A4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办公费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B9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7328.02 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0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201BD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1A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审计费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9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2500.00 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C6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7817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8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差旅费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B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434.00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F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1BDBE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7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广告费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8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569.80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8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  <w:tr w14:paraId="1B1C0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50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8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67471.82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0C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"/>
                <w:color w:val="000000"/>
                <w:szCs w:val="21"/>
              </w:rPr>
            </w:pPr>
          </w:p>
        </w:tc>
      </w:tr>
    </w:tbl>
    <w:p w14:paraId="74A0EC9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3.其他费用增减变动情况</w:t>
      </w:r>
    </w:p>
    <w:p w14:paraId="017C8C2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年其他费用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1009.12</w:t>
      </w:r>
      <w:r>
        <w:rPr>
          <w:rFonts w:hint="eastAsia" w:ascii="仿宋" w:hAnsi="仿宋" w:eastAsia="仿宋" w:cs="仿宋"/>
          <w:sz w:val="32"/>
          <w:szCs w:val="32"/>
        </w:rPr>
        <w:t>元，主要是通过网络办理银行收付和扫码收款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手续费。</w:t>
      </w:r>
    </w:p>
    <w:p w14:paraId="13ADDF80"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、基金会资产、负债与净资产指标</w:t>
      </w:r>
    </w:p>
    <w:p w14:paraId="45DCA55F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资产负债表核心解读（截至2025年12月31日）</w:t>
      </w:r>
    </w:p>
    <w:p w14:paraId="6382D312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总资产：20,831,06.90元，以流动性资产为主。</w:t>
      </w:r>
    </w:p>
    <w:p w14:paraId="5A92B06B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总负债：75,484.39元，主要为应付工资及应付款项，无任何金融性负债，财务风险极低。</w:t>
      </w:r>
    </w:p>
    <w:p w14:paraId="334A369B"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净资产：20,076,22.51元，全部为非限定性净资产（17,778,80.82元）与限定性净资产（2,297,41.69元）。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达成年底净资产不能低于原始基金数额200万元的要求。</w:t>
      </w:r>
    </w:p>
    <w:p w14:paraId="752A0DF9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资产保值增值工作</w:t>
      </w:r>
    </w:p>
    <w:p w14:paraId="225B2AE5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基金会遵循“安全、合规、稳健”的原则，在保障年度项目资金支付的前提下，开展资金保值增值工作：</w:t>
      </w:r>
    </w:p>
    <w:p w14:paraId="7C630878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年度内滚动使用150万元投资于稳健型理财产品。实现收益15,279.34元，已计入“其他收入”。</w:t>
      </w:r>
    </w:p>
    <w:p w14:paraId="1C47E2D3">
      <w:pPr>
        <w:spacing w:line="52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五、基金会实物资产</w:t>
      </w:r>
    </w:p>
    <w:p w14:paraId="0388346A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截至2025年底，基金会固定资产已完成盘点，做到账实相符、账账相符。</w:t>
      </w:r>
    </w:p>
    <w:p w14:paraId="68D78234"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上所述，山东省普觉公益基金会在2025年度秉持初心，合规运营，高效执行。财务数据清晰地表明，基金会不仅严格遵守了国家各项法律法规，更以远超标准的公益支出和极低的管理成本，将社会各界的爱心最大限度地传递给了需要帮助的人群。虽然年度净资产有所消耗，但这是基金会积极履行使命、追求社会效益最大化的主动选择，其财务根基依然稳固，发展势头健康。</w:t>
      </w:r>
    </w:p>
    <w:p w14:paraId="080640EA"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在理事会的正确领导和全体同仁的共同努力下，基金会的财务工作必将为公益事业的高质量发展提供更坚实、更智慧的支撑。</w:t>
      </w:r>
    </w:p>
    <w:p w14:paraId="4CECD810">
      <w:pPr>
        <w:ind w:firstLine="3520" w:firstLineChars="1100"/>
        <w:rPr>
          <w:rFonts w:ascii="仿宋" w:hAnsi="仿宋" w:eastAsia="仿宋" w:cs="仿宋"/>
          <w:sz w:val="32"/>
          <w:szCs w:val="32"/>
        </w:rPr>
      </w:pPr>
    </w:p>
    <w:p w14:paraId="151B102A">
      <w:pPr>
        <w:ind w:firstLine="3520" w:firstLineChars="1100"/>
        <w:rPr>
          <w:rFonts w:ascii="仿宋" w:hAnsi="仿宋" w:eastAsia="仿宋" w:cs="仿宋"/>
          <w:sz w:val="32"/>
          <w:szCs w:val="32"/>
        </w:rPr>
      </w:pPr>
    </w:p>
    <w:p w14:paraId="3989C7A2">
      <w:pPr>
        <w:ind w:firstLine="3520" w:firstLineChars="1100"/>
        <w:rPr>
          <w:rFonts w:ascii="仿宋" w:hAnsi="仿宋" w:eastAsia="仿宋" w:cs="仿宋"/>
          <w:sz w:val="32"/>
          <w:szCs w:val="32"/>
        </w:rPr>
      </w:pPr>
    </w:p>
    <w:p w14:paraId="7DE7C2B0"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sz w:val="32"/>
          <w:szCs w:val="32"/>
        </w:rPr>
        <w:t>普觉公益基金会财务部</w:t>
      </w:r>
    </w:p>
    <w:p w14:paraId="4CB85CA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76CDF-7B7D-4063-AB98-915830D405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B6C7A8-4C2D-446A-9680-090526C53D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EFA4DD-91BA-4F15-B176-E3A9C74AB58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64B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1E94B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E94B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A0618"/>
    <w:multiLevelType w:val="singleLevel"/>
    <w:tmpl w:val="EDBA06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BjOTZlNGFmZTNmNzYwZGMwMmNlNTk1ZmU4NzAifQ=="/>
  </w:docVars>
  <w:rsids>
    <w:rsidRoot w:val="431E2198"/>
    <w:rsid w:val="0003358D"/>
    <w:rsid w:val="002868FE"/>
    <w:rsid w:val="00954D35"/>
    <w:rsid w:val="00A91938"/>
    <w:rsid w:val="00B347E2"/>
    <w:rsid w:val="01DB1EFD"/>
    <w:rsid w:val="023D1B4B"/>
    <w:rsid w:val="03C30C20"/>
    <w:rsid w:val="046A71ED"/>
    <w:rsid w:val="04957698"/>
    <w:rsid w:val="04A22F2C"/>
    <w:rsid w:val="062741C1"/>
    <w:rsid w:val="079E3E7E"/>
    <w:rsid w:val="08CE3310"/>
    <w:rsid w:val="0989003D"/>
    <w:rsid w:val="0B5305BB"/>
    <w:rsid w:val="0BA92DA1"/>
    <w:rsid w:val="0C472044"/>
    <w:rsid w:val="0C92311B"/>
    <w:rsid w:val="0DC74FEA"/>
    <w:rsid w:val="0E3E73A3"/>
    <w:rsid w:val="0F417E94"/>
    <w:rsid w:val="0F9C52A7"/>
    <w:rsid w:val="108E33A2"/>
    <w:rsid w:val="10C223F0"/>
    <w:rsid w:val="11575FB2"/>
    <w:rsid w:val="13922CE2"/>
    <w:rsid w:val="14C432AB"/>
    <w:rsid w:val="15BA7257"/>
    <w:rsid w:val="16890915"/>
    <w:rsid w:val="170550F2"/>
    <w:rsid w:val="175D5EE1"/>
    <w:rsid w:val="17E92EF4"/>
    <w:rsid w:val="19404D78"/>
    <w:rsid w:val="19877AF0"/>
    <w:rsid w:val="19EF7BA4"/>
    <w:rsid w:val="1A4A0BDC"/>
    <w:rsid w:val="1D320E99"/>
    <w:rsid w:val="20A53730"/>
    <w:rsid w:val="21571A95"/>
    <w:rsid w:val="21C12D42"/>
    <w:rsid w:val="229D62D6"/>
    <w:rsid w:val="22D770C1"/>
    <w:rsid w:val="250B7D9B"/>
    <w:rsid w:val="25C24D84"/>
    <w:rsid w:val="25EC3819"/>
    <w:rsid w:val="267B5976"/>
    <w:rsid w:val="28A658D5"/>
    <w:rsid w:val="28DA2E2B"/>
    <w:rsid w:val="29362910"/>
    <w:rsid w:val="2AA45611"/>
    <w:rsid w:val="2CDA35B7"/>
    <w:rsid w:val="2CF02085"/>
    <w:rsid w:val="2F157F78"/>
    <w:rsid w:val="2F8D7D90"/>
    <w:rsid w:val="2FAB0884"/>
    <w:rsid w:val="37B25C6C"/>
    <w:rsid w:val="381B390D"/>
    <w:rsid w:val="39AC4ED0"/>
    <w:rsid w:val="3B8D2B48"/>
    <w:rsid w:val="3C2E54F5"/>
    <w:rsid w:val="3D0870C9"/>
    <w:rsid w:val="400B75FC"/>
    <w:rsid w:val="40EF4A1C"/>
    <w:rsid w:val="410D2284"/>
    <w:rsid w:val="411B2A74"/>
    <w:rsid w:val="41CB3D94"/>
    <w:rsid w:val="431E2198"/>
    <w:rsid w:val="448C0A90"/>
    <w:rsid w:val="46C6652F"/>
    <w:rsid w:val="46F95497"/>
    <w:rsid w:val="47646964"/>
    <w:rsid w:val="47A143A2"/>
    <w:rsid w:val="48225304"/>
    <w:rsid w:val="494C35B6"/>
    <w:rsid w:val="4A0A512A"/>
    <w:rsid w:val="4CEE499D"/>
    <w:rsid w:val="4D297313"/>
    <w:rsid w:val="4E854A1D"/>
    <w:rsid w:val="4FC61AF3"/>
    <w:rsid w:val="50193243"/>
    <w:rsid w:val="505E5E4F"/>
    <w:rsid w:val="52094324"/>
    <w:rsid w:val="520A3BFB"/>
    <w:rsid w:val="52FF14F8"/>
    <w:rsid w:val="53FB2177"/>
    <w:rsid w:val="54A3007E"/>
    <w:rsid w:val="550A222F"/>
    <w:rsid w:val="55561479"/>
    <w:rsid w:val="569021B1"/>
    <w:rsid w:val="56F874E3"/>
    <w:rsid w:val="573A3ECB"/>
    <w:rsid w:val="575675DF"/>
    <w:rsid w:val="57BA1C29"/>
    <w:rsid w:val="580309FC"/>
    <w:rsid w:val="5840322A"/>
    <w:rsid w:val="58C12AF6"/>
    <w:rsid w:val="58C83013"/>
    <w:rsid w:val="59F9213B"/>
    <w:rsid w:val="5A982A47"/>
    <w:rsid w:val="5B294982"/>
    <w:rsid w:val="5BE32D83"/>
    <w:rsid w:val="62AC3ECF"/>
    <w:rsid w:val="62C8782A"/>
    <w:rsid w:val="63F136AB"/>
    <w:rsid w:val="63F66C1A"/>
    <w:rsid w:val="64F25BA3"/>
    <w:rsid w:val="67193AFD"/>
    <w:rsid w:val="6732696D"/>
    <w:rsid w:val="68ED5241"/>
    <w:rsid w:val="696D0334"/>
    <w:rsid w:val="6BA45E98"/>
    <w:rsid w:val="6DFA01F9"/>
    <w:rsid w:val="6FD43070"/>
    <w:rsid w:val="6FEF1D95"/>
    <w:rsid w:val="701B6B38"/>
    <w:rsid w:val="70C25CC9"/>
    <w:rsid w:val="71A4323E"/>
    <w:rsid w:val="721F290F"/>
    <w:rsid w:val="72F16A9B"/>
    <w:rsid w:val="731A1328"/>
    <w:rsid w:val="733878E1"/>
    <w:rsid w:val="752234DB"/>
    <w:rsid w:val="77724816"/>
    <w:rsid w:val="78EA125A"/>
    <w:rsid w:val="79295958"/>
    <w:rsid w:val="7A3A2340"/>
    <w:rsid w:val="7B7B0D38"/>
    <w:rsid w:val="7D771455"/>
    <w:rsid w:val="7F2D3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2035</Words>
  <Characters>2836</Characters>
  <Lines>20</Lines>
  <Paragraphs>5</Paragraphs>
  <TotalTime>66</TotalTime>
  <ScaleCrop>false</ScaleCrop>
  <LinksUpToDate>false</LinksUpToDate>
  <CharactersWithSpaces>2840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2022-08-23T02:22:00Z</dcterms:created>
  <dc:creator>CAIWU</dc:creator>
  <cp:lastModifiedBy>杨杨跨境</cp:lastModifiedBy>
  <cp:lastPrinted>2025-01-08T01:48:00Z</cp:lastPrinted>
  <dcterms:modified xsi:type="dcterms:W3CDTF">2026-01-23T08:07:03Z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4B2FE56BC720471B99F60C91D5D253ED_13</vt:lpwstr>
  </property>
  <property fmtid="{D5CDD505-2E9C-101B-9397-08002B2CF9AE}" pid="4" name="KSOTemplateDocerSaveRecord">
    <vt:lpwstr>eyJoZGlkIjoiYzY0MDE2MmJlMTZhNDQzNTY5NzJhZWQyYzU2ZTNkODciLCJ1c2VySWQiOiIxNjExMDc3OTc3In0=</vt:lpwstr>
  </property>
</Properties>
</file>