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4F087">
      <w:pPr>
        <w:jc w:val="both"/>
        <w:rPr>
          <w:rFonts w:hint="eastAsia" w:ascii="黑体" w:hAnsi="黑体" w:eastAsia="黑体" w:cs="黑体"/>
          <w:sz w:val="36"/>
          <w:szCs w:val="36"/>
        </w:rPr>
      </w:pPr>
    </w:p>
    <w:p w14:paraId="6B120DD3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山东省普觉公益基金会</w:t>
      </w:r>
    </w:p>
    <w:p w14:paraId="65947E71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年上半年财务报告</w:t>
      </w:r>
    </w:p>
    <w:p w14:paraId="4CA8161B"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 w14:paraId="5F88FD2B"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年上半年山东省普觉公益基金会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财务工作</w:t>
      </w:r>
      <w:r>
        <w:rPr>
          <w:rFonts w:hint="eastAsia" w:ascii="仿宋" w:hAnsi="仿宋" w:eastAsia="仿宋" w:cs="仿宋"/>
          <w:sz w:val="32"/>
          <w:szCs w:val="32"/>
        </w:rPr>
        <w:t>严格遵照《慈善法》、《基金会管理条例》等有关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法律法规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遵守《会计法》、《民间非营利组织会计制度》等一系列财经法律法规开展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财务</w:t>
      </w:r>
      <w:r>
        <w:rPr>
          <w:rFonts w:hint="eastAsia" w:ascii="仿宋" w:hAnsi="仿宋" w:eastAsia="仿宋" w:cs="仿宋"/>
          <w:sz w:val="32"/>
          <w:szCs w:val="32"/>
        </w:rPr>
        <w:t>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坚持将党的全面领导贯穿于财务管理和慈善事业全过程。坚持以习近平新时代中国特色社会主义思想为指导，进一步强化纪律意识、加强自我约束、提高免疫能力，增强政治定力、纪律定力、道德定力、抵腐定力，始终将忠诚干净担当作为本会财务工作指导。同时基金会财务工作，在理事会制定的发展方向、在理事长带领下，以基金会《财务管理制度》为根本，始终围绕“聚焦主责主业、坚守非营利属性、强化风险防控”三大核心任务展开，通过健全制度体系、创新监督手段、深化数字赋能等举措，确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基金会重点项目实施与推进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435492D"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本报告全面呈现2025年1-6月公益基金会财务收支状况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财务主要指标如下：</w:t>
      </w:r>
    </w:p>
    <w:p w14:paraId="46F39054"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一、基金会收入指标</w:t>
      </w:r>
    </w:p>
    <w:p w14:paraId="7BDE8266"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年1-6月份基金会共计取得收入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558662.75</w:t>
      </w:r>
      <w:r>
        <w:rPr>
          <w:rFonts w:hint="eastAsia" w:ascii="仿宋" w:hAnsi="仿宋" w:eastAsia="仿宋" w:cs="仿宋"/>
          <w:sz w:val="32"/>
          <w:szCs w:val="32"/>
        </w:rPr>
        <w:t>元，其中：接受各方捐赠收入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550348.00</w:t>
      </w:r>
      <w:r>
        <w:rPr>
          <w:rFonts w:hint="eastAsia" w:ascii="仿宋" w:hAnsi="仿宋" w:eastAsia="仿宋" w:cs="仿宋"/>
          <w:sz w:val="32"/>
          <w:szCs w:val="32"/>
        </w:rPr>
        <w:t>元（其中：限定性收入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元，非限定性收入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550348.00</w:t>
      </w:r>
      <w:r>
        <w:rPr>
          <w:rFonts w:hint="eastAsia" w:ascii="仿宋" w:hAnsi="仿宋" w:eastAsia="仿宋" w:cs="仿宋"/>
          <w:sz w:val="32"/>
          <w:szCs w:val="32"/>
        </w:rPr>
        <w:t>元）；其他收入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8314.75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(其中利息收入：463.53元，基金管理费用转收入7338元，其他收入513.22元）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04B6C19">
      <w:pPr>
        <w:spacing w:line="520" w:lineRule="exact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面对当前经济形势基金会加强与专项基金联系，开拓思路寻找对接社会各方爱心人士，上半年取得捐赠收入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550348.00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</w:t>
      </w:r>
    </w:p>
    <w:p w14:paraId="48C9A693"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基金会为实现财产保值、增值，其中160万元用于理财，目前获得利息9169.97元。</w:t>
      </w:r>
    </w:p>
    <w:tbl>
      <w:tblPr>
        <w:tblStyle w:val="4"/>
        <w:tblW w:w="91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2643"/>
        <w:gridCol w:w="1037"/>
        <w:gridCol w:w="1300"/>
        <w:gridCol w:w="1075"/>
        <w:gridCol w:w="2583"/>
      </w:tblGrid>
      <w:tr w14:paraId="4CCD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E4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年1-6月捐赠收入明细表</w:t>
            </w:r>
          </w:p>
        </w:tc>
      </w:tr>
      <w:tr w14:paraId="144BE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5EC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AA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676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7A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427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11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单位：元</w:t>
            </w:r>
          </w:p>
        </w:tc>
      </w:tr>
      <w:tr w14:paraId="58F72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68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81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捐赠基金或捐赠人</w:t>
            </w:r>
          </w:p>
        </w:tc>
        <w:tc>
          <w:tcPr>
            <w:tcW w:w="3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33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捐赠收入</w:t>
            </w:r>
          </w:p>
        </w:tc>
        <w:tc>
          <w:tcPr>
            <w:tcW w:w="2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07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17A0B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B03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364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41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4A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非限定性捐赠收入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73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限定性捐赠收入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426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0C2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53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15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  <w:lang w:val="en-US" w:eastAsia="zh-CN"/>
              </w:rPr>
              <w:t>烟台美的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森眼科医院有限公司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54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87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D86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F8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列入专项基金</w:t>
            </w:r>
          </w:p>
        </w:tc>
      </w:tr>
      <w:tr w14:paraId="6B2B4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DC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07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烟台市莱山区敬仰志愿军老兵帮扶计划公益服务中心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FE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100000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05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971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40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列入专项基金</w:t>
            </w:r>
          </w:p>
        </w:tc>
      </w:tr>
      <w:tr w14:paraId="0E09C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4E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E5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济南百利顺医疗器械有限公司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ED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100000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8B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E8B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09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列入专项基金</w:t>
            </w:r>
          </w:p>
        </w:tc>
      </w:tr>
      <w:tr w14:paraId="7F521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61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74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烟台市中大物业管理有限公司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6D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9CB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8D9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AC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列入专项基金</w:t>
            </w:r>
          </w:p>
        </w:tc>
      </w:tr>
      <w:tr w14:paraId="680EB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C3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B31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烟台佳恒控股有限公司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09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20580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8E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20580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975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BB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列入专项基金</w:t>
            </w:r>
          </w:p>
        </w:tc>
      </w:tr>
      <w:tr w14:paraId="14F3C2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46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C9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辉藤科技服务（山东）有限公司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B6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69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F32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8CE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列入专项基金</w:t>
            </w:r>
          </w:p>
        </w:tc>
      </w:tr>
      <w:tr w14:paraId="2D7FF5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4C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CE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烟台市正大房产置换有限公司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1A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7D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C20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5E1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列入专项基金</w:t>
            </w:r>
          </w:p>
        </w:tc>
      </w:tr>
      <w:tr w14:paraId="3F24C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C7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4D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社会爱心个人捐款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2C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55768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2F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55768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4C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47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部分捐款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列入专项基金</w:t>
            </w:r>
          </w:p>
        </w:tc>
      </w:tr>
      <w:tr w14:paraId="1D8D6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DB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3F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550348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59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550348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435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F7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C9A6C8F">
      <w:pPr>
        <w:spacing w:line="52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年1-6月份基金会收到捐赠收入来源主要是：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普明公益基金、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关爱志愿军老兵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基金、壹通爱心基金、正信公益基金、慧日爱心基金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个专项基金捐款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以及愈健公益基金的发起设立款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FEFC707">
      <w:p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二、基金会支出指标</w:t>
      </w:r>
    </w:p>
    <w:p w14:paraId="17F4C228">
      <w:pPr>
        <w:spacing w:line="52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基金会2025年上半年支出严格遵循 “受益人最大化最优化”原则，通过精细化项目管理将运营成本控制在合理区间。</w:t>
      </w:r>
    </w:p>
    <w:p w14:paraId="3519B5F2"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（一）支出总体情况</w:t>
      </w:r>
    </w:p>
    <w:p w14:paraId="2056D4EE"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年1-6月份基金会共计发生支出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810220.39</w:t>
      </w:r>
      <w:r>
        <w:rPr>
          <w:rFonts w:hint="eastAsia" w:ascii="仿宋" w:hAnsi="仿宋" w:eastAsia="仿宋" w:cs="仿宋"/>
          <w:sz w:val="32"/>
          <w:szCs w:val="32"/>
        </w:rPr>
        <w:t>元，其中：公益事业支出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775009.58</w:t>
      </w:r>
      <w:r>
        <w:rPr>
          <w:rFonts w:hint="eastAsia" w:ascii="仿宋" w:hAnsi="仿宋" w:eastAsia="仿宋" w:cs="仿宋"/>
          <w:sz w:val="32"/>
          <w:szCs w:val="32"/>
        </w:rPr>
        <w:t>元，管理费用支出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34525.89</w:t>
      </w:r>
      <w:r>
        <w:rPr>
          <w:rFonts w:hint="eastAsia" w:ascii="仿宋" w:hAnsi="仿宋" w:eastAsia="仿宋" w:cs="仿宋"/>
          <w:sz w:val="32"/>
          <w:szCs w:val="32"/>
        </w:rPr>
        <w:t>元，其他费用（即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短信</w:t>
      </w:r>
      <w:r>
        <w:rPr>
          <w:rFonts w:hint="eastAsia" w:ascii="仿宋" w:hAnsi="仿宋" w:eastAsia="仿宋" w:cs="仿宋"/>
          <w:sz w:val="32"/>
          <w:szCs w:val="32"/>
        </w:rPr>
        <w:t>费）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684.92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tbl>
      <w:tblPr>
        <w:tblStyle w:val="4"/>
        <w:tblW w:w="82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1322"/>
        <w:gridCol w:w="1173"/>
        <w:gridCol w:w="1309"/>
        <w:gridCol w:w="1081"/>
        <w:gridCol w:w="910"/>
        <w:gridCol w:w="968"/>
      </w:tblGrid>
      <w:tr w14:paraId="7841F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06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08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支出费用合计</w:t>
            </w:r>
          </w:p>
        </w:tc>
        <w:tc>
          <w:tcPr>
            <w:tcW w:w="3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C2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业务活动支出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3D6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管理费用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339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其他费用</w:t>
            </w:r>
          </w:p>
        </w:tc>
      </w:tr>
      <w:tr w14:paraId="10D22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373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8DF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A0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E2C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非限定性支出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B8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限定性支出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F1E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0B3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6A4F8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D9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业务活动支出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D0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775009.58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04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775009.58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BF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775009.58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89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EAE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095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13501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17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管理费用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4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34525.89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039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F2C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0B5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24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34525.89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E01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72B5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237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其他费用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E3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684.92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A9C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DE4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91B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7E6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64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684.92</w:t>
            </w:r>
          </w:p>
        </w:tc>
      </w:tr>
      <w:tr w14:paraId="5FA6D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15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5C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810220.39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30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775009.58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52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775009.58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87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EE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34525.89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6F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684.92</w:t>
            </w:r>
          </w:p>
        </w:tc>
      </w:tr>
    </w:tbl>
    <w:p w14:paraId="30373D8B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年1-6月份累计发生支出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810220.39元</w:t>
      </w:r>
      <w:r>
        <w:rPr>
          <w:rFonts w:hint="eastAsia" w:ascii="仿宋" w:hAnsi="仿宋" w:eastAsia="仿宋" w:cs="仿宋"/>
          <w:sz w:val="32"/>
          <w:szCs w:val="32"/>
        </w:rPr>
        <w:t>比去年同期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706052.55</w:t>
      </w:r>
      <w:r>
        <w:rPr>
          <w:rFonts w:hint="eastAsia" w:ascii="仿宋" w:hAnsi="仿宋" w:eastAsia="仿宋" w:cs="仿宋"/>
          <w:sz w:val="32"/>
          <w:szCs w:val="32"/>
        </w:rPr>
        <w:t>元增加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104167.84</w:t>
      </w:r>
      <w:r>
        <w:rPr>
          <w:rFonts w:hint="eastAsia" w:ascii="仿宋" w:hAnsi="仿宋" w:eastAsia="仿宋" w:cs="仿宋"/>
          <w:sz w:val="32"/>
          <w:szCs w:val="32"/>
        </w:rPr>
        <w:t>元增幅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14.75</w:t>
      </w:r>
      <w:r>
        <w:rPr>
          <w:rFonts w:hint="eastAsia" w:ascii="仿宋" w:hAnsi="仿宋" w:eastAsia="仿宋" w:cs="仿宋"/>
          <w:sz w:val="32"/>
          <w:szCs w:val="32"/>
        </w:rPr>
        <w:t>%，具体支出情况如下：业务活动支出（公益事业支出）本年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775009.58</w:t>
      </w:r>
      <w:r>
        <w:rPr>
          <w:rFonts w:hint="eastAsia" w:ascii="仿宋" w:hAnsi="仿宋" w:eastAsia="仿宋" w:cs="仿宋"/>
          <w:sz w:val="32"/>
          <w:szCs w:val="32"/>
        </w:rPr>
        <w:t>元比去年同期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670136.85</w:t>
      </w:r>
      <w:r>
        <w:rPr>
          <w:rFonts w:hint="eastAsia" w:ascii="仿宋" w:hAnsi="仿宋" w:eastAsia="仿宋" w:cs="仿宋"/>
          <w:sz w:val="32"/>
          <w:szCs w:val="32"/>
        </w:rPr>
        <w:t>元增加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104872.73</w:t>
      </w:r>
      <w:r>
        <w:rPr>
          <w:rFonts w:hint="eastAsia" w:ascii="仿宋" w:hAnsi="仿宋" w:eastAsia="仿宋" w:cs="仿宋"/>
          <w:sz w:val="32"/>
          <w:szCs w:val="32"/>
        </w:rPr>
        <w:t>元增幅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15.65</w:t>
      </w:r>
      <w:r>
        <w:rPr>
          <w:rFonts w:hint="eastAsia" w:ascii="仿宋" w:hAnsi="仿宋" w:eastAsia="仿宋" w:cs="仿宋"/>
          <w:sz w:val="32"/>
          <w:szCs w:val="32"/>
        </w:rPr>
        <w:t>%；管理费用支出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34525.89</w:t>
      </w:r>
      <w:r>
        <w:rPr>
          <w:rFonts w:hint="eastAsia" w:ascii="仿宋" w:hAnsi="仿宋" w:eastAsia="仿宋" w:cs="仿宋"/>
          <w:sz w:val="32"/>
          <w:szCs w:val="32"/>
        </w:rPr>
        <w:t>元比去年同期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34180.70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增加345.19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增幅1</w:t>
      </w:r>
      <w:r>
        <w:rPr>
          <w:rFonts w:hint="eastAsia" w:ascii="仿宋" w:hAnsi="仿宋" w:eastAsia="仿宋" w:cs="仿宋"/>
          <w:sz w:val="32"/>
          <w:szCs w:val="32"/>
        </w:rPr>
        <w:t>%；其他费用支出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684.92</w:t>
      </w:r>
      <w:r>
        <w:rPr>
          <w:rFonts w:hint="eastAsia" w:ascii="仿宋" w:hAnsi="仿宋" w:eastAsia="仿宋" w:cs="仿宋"/>
          <w:sz w:val="32"/>
          <w:szCs w:val="32"/>
        </w:rPr>
        <w:t>元比去年同期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1735.00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减少1050.08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降幅60.52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 w14:paraId="4913EF67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（二）基金会支出分项情况</w:t>
      </w:r>
    </w:p>
    <w:p w14:paraId="489C9F56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1.业务活动支出（公益事业支出）情况</w:t>
      </w:r>
    </w:p>
    <w:p w14:paraId="045E39FC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年1-6月份业务活动支出（公益事业支出）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775009.58</w:t>
      </w:r>
      <w:r>
        <w:rPr>
          <w:rFonts w:hint="eastAsia" w:ascii="仿宋" w:hAnsi="仿宋" w:eastAsia="仿宋" w:cs="仿宋"/>
          <w:sz w:val="32"/>
          <w:szCs w:val="32"/>
        </w:rPr>
        <w:t>元，具体如下：</w:t>
      </w:r>
    </w:p>
    <w:p w14:paraId="3C61CBE3">
      <w:pPr>
        <w:ind w:firstLine="640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业务活动支出项目金额表</w:t>
      </w:r>
    </w:p>
    <w:tbl>
      <w:tblPr>
        <w:tblStyle w:val="4"/>
        <w:tblW w:w="8805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418"/>
        <w:gridCol w:w="1418"/>
        <w:gridCol w:w="1491"/>
        <w:gridCol w:w="1591"/>
        <w:gridCol w:w="1354"/>
      </w:tblGrid>
      <w:tr w14:paraId="0EECD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CAC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Style w:val="6"/>
                <w:rFonts w:hint="default"/>
              </w:rPr>
              <w:t>序号</w:t>
            </w:r>
          </w:p>
        </w:tc>
        <w:tc>
          <w:tcPr>
            <w:tcW w:w="241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EC0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Style w:val="6"/>
                <w:rFonts w:hint="default"/>
              </w:rPr>
              <w:t>项目名称</w:t>
            </w:r>
          </w:p>
        </w:tc>
        <w:tc>
          <w:tcPr>
            <w:tcW w:w="450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3E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Style w:val="6"/>
                <w:rFonts w:hint="default"/>
              </w:rPr>
              <w:t>业务活动支出（单位：元）</w:t>
            </w:r>
          </w:p>
        </w:tc>
        <w:tc>
          <w:tcPr>
            <w:tcW w:w="135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A0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Style w:val="6"/>
                <w:rFonts w:hint="default"/>
              </w:rPr>
              <w:t>备注</w:t>
            </w:r>
          </w:p>
        </w:tc>
      </w:tr>
      <w:tr w14:paraId="095CC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B9CB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41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A2E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99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Style w:val="6"/>
                <w:rFonts w:hint="default"/>
              </w:rPr>
              <w:t>小计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CAE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Style w:val="6"/>
                <w:rFonts w:hint="default"/>
              </w:rPr>
              <w:t>非限定性支出</w:t>
            </w:r>
          </w:p>
        </w:tc>
        <w:tc>
          <w:tcPr>
            <w:tcW w:w="15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29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Style w:val="6"/>
                <w:rFonts w:hint="default"/>
              </w:rPr>
              <w:t>限定性支出</w:t>
            </w:r>
          </w:p>
        </w:tc>
        <w:tc>
          <w:tcPr>
            <w:tcW w:w="13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05E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</w:tr>
      <w:tr w14:paraId="666AC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86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96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普觉乡村振兴项目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121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15455.38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E24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15455.38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31D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A498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4CA8C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2F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6C6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普觉科教生态促进项目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6F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47795.49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745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47795.49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9F80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9A8B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26AD7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D6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E5E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普觉“阳光”助困项目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97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49046.92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76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49046.92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AC4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679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06B72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A7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72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普觉“普爱”助学项目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8F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65898.17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32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65898.17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6BF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B6AB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281B5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98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E0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普觉“暖心”助老项目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F4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183264.30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A13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183264.30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06B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E238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1D811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1E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C9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普觉“天使”助残项目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EC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150036.90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F5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150036.90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C7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CE77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39B20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29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F2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普觉“杏林”助医项目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3CB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263512.42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E6C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263512.42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CD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F4E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 w14:paraId="39D7A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95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E10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0E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775009.58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97A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775009.58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5F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39B7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 w14:paraId="152ABECA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按照《关于慈善组织开展慈善活动年度支出和管理费用的规定》的通知（民发〔2016〕189号）文件看，结合去年末净资产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2602991.45</w:t>
      </w:r>
      <w:r>
        <w:rPr>
          <w:rFonts w:hint="eastAsia" w:ascii="仿宋" w:hAnsi="仿宋" w:eastAsia="仿宋" w:cs="仿宋"/>
          <w:sz w:val="32"/>
          <w:szCs w:val="32"/>
        </w:rPr>
        <w:t>元，慈善活动支出不得低于上年末净资产8%，202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年需要完成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208239.32</w:t>
      </w:r>
      <w:r>
        <w:rPr>
          <w:rFonts w:hint="eastAsia" w:ascii="仿宋" w:hAnsi="仿宋" w:eastAsia="仿宋" w:cs="仿宋"/>
          <w:sz w:val="32"/>
          <w:szCs w:val="32"/>
        </w:rPr>
        <w:t>元，基金会实际完成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775009.58</w:t>
      </w:r>
      <w:r>
        <w:rPr>
          <w:rFonts w:hint="eastAsia" w:ascii="仿宋" w:hAnsi="仿宋" w:eastAsia="仿宋" w:cs="仿宋"/>
          <w:sz w:val="32"/>
          <w:szCs w:val="32"/>
        </w:rPr>
        <w:t>元，完成规定要求。</w:t>
      </w:r>
    </w:p>
    <w:p w14:paraId="3C5C7CB8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2.管理费用增减变动情况</w:t>
      </w:r>
    </w:p>
    <w:p w14:paraId="38F52B89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年1-6月份管理费用支出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34525.89</w:t>
      </w:r>
      <w:r>
        <w:rPr>
          <w:rFonts w:hint="eastAsia" w:ascii="仿宋" w:hAnsi="仿宋" w:eastAsia="仿宋" w:cs="仿宋"/>
          <w:sz w:val="32"/>
          <w:szCs w:val="32"/>
        </w:rPr>
        <w:t>元占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业务活动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775009.58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元的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4.45</w:t>
      </w:r>
      <w:r>
        <w:rPr>
          <w:rFonts w:hint="eastAsia" w:ascii="仿宋" w:hAnsi="仿宋" w:eastAsia="仿宋" w:cs="仿宋"/>
          <w:sz w:val="32"/>
          <w:szCs w:val="32"/>
        </w:rPr>
        <w:t>%，管理费用主要支付内容有：</w:t>
      </w:r>
    </w:p>
    <w:tbl>
      <w:tblPr>
        <w:tblStyle w:val="4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9"/>
        <w:gridCol w:w="2932"/>
        <w:gridCol w:w="2525"/>
      </w:tblGrid>
      <w:tr w14:paraId="40EE1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88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A5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发生金额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66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备注</w:t>
            </w:r>
          </w:p>
        </w:tc>
      </w:tr>
      <w:tr w14:paraId="51A40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A5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管理费用（单位：元）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A5B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675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</w:tr>
      <w:tr w14:paraId="7E75E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AD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  职工薪酬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AE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28320.00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281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</w:tr>
      <w:tr w14:paraId="6F00E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55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  办公费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35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3262.09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A9E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</w:tr>
      <w:tr w14:paraId="73A4C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0A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差旅费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B9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434.00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306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</w:tr>
      <w:tr w14:paraId="201BD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1A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  审计费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89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2500.00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6F6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</w:tr>
      <w:tr w14:paraId="58966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D8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广告费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13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9.80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C6B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</w:tr>
      <w:tr w14:paraId="7817F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68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8B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34525.89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1F2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 w:cs="仿宋"/>
                <w:color w:val="000000"/>
                <w:szCs w:val="21"/>
              </w:rPr>
            </w:pPr>
          </w:p>
        </w:tc>
      </w:tr>
    </w:tbl>
    <w:p w14:paraId="04638A3B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管理费用方面：基金会目标是要控制在管理费占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业务活动</w:t>
      </w:r>
      <w:r>
        <w:rPr>
          <w:rFonts w:hint="eastAsia" w:ascii="仿宋" w:hAnsi="仿宋" w:eastAsia="仿宋" w:cs="仿宋"/>
          <w:sz w:val="32"/>
          <w:szCs w:val="32"/>
        </w:rPr>
        <w:t>支出20%以内，而202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5年</w:t>
      </w:r>
      <w:r>
        <w:rPr>
          <w:rFonts w:hint="eastAsia" w:ascii="仿宋" w:hAnsi="仿宋" w:eastAsia="仿宋" w:cs="仿宋"/>
          <w:sz w:val="32"/>
          <w:szCs w:val="32"/>
        </w:rPr>
        <w:t>1-6月份管理费占比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4.45</w:t>
      </w:r>
      <w:r>
        <w:rPr>
          <w:rFonts w:hint="eastAsia" w:ascii="仿宋" w:hAnsi="仿宋" w:eastAsia="仿宋" w:cs="仿宋"/>
          <w:sz w:val="32"/>
          <w:szCs w:val="32"/>
        </w:rPr>
        <w:t>%，已经完成此目标。</w:t>
      </w:r>
    </w:p>
    <w:p w14:paraId="74A0EC99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3.其他费用增减变动情况</w:t>
      </w:r>
    </w:p>
    <w:p w14:paraId="017C8C2A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年1-6月份其他费用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684.92</w:t>
      </w:r>
      <w:r>
        <w:rPr>
          <w:rFonts w:hint="eastAsia" w:ascii="仿宋" w:hAnsi="仿宋" w:eastAsia="仿宋" w:cs="仿宋"/>
          <w:sz w:val="32"/>
          <w:szCs w:val="32"/>
        </w:rPr>
        <w:t>元，主要是通过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短信费和网银管理年费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3ADDF80">
      <w:p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三、基金会净资产指标</w:t>
      </w:r>
    </w:p>
    <w:p w14:paraId="63A07B82">
      <w:pPr>
        <w:spacing w:line="52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截止202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年6月30日基金会净资产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2268056.46</w:t>
      </w:r>
      <w:r>
        <w:rPr>
          <w:rFonts w:hint="eastAsia" w:ascii="仿宋" w:hAnsi="仿宋" w:eastAsia="仿宋" w:cs="仿宋"/>
          <w:sz w:val="32"/>
          <w:szCs w:val="32"/>
        </w:rPr>
        <w:t>元，其中限定性净资产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229741.69</w:t>
      </w:r>
      <w:r>
        <w:rPr>
          <w:rFonts w:hint="eastAsia" w:ascii="仿宋" w:hAnsi="仿宋" w:eastAsia="仿宋" w:cs="仿宋"/>
          <w:sz w:val="32"/>
          <w:szCs w:val="32"/>
        </w:rPr>
        <w:t>元、非限定性净资产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2038314.77</w:t>
      </w:r>
      <w:r>
        <w:rPr>
          <w:rFonts w:hint="eastAsia" w:ascii="仿宋" w:hAnsi="仿宋" w:eastAsia="仿宋" w:cs="仿宋"/>
          <w:sz w:val="32"/>
          <w:szCs w:val="32"/>
        </w:rPr>
        <w:t>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年末净资产不低于登记证书原始基金数额</w:t>
      </w:r>
      <w:r>
        <w:rPr>
          <w:rFonts w:hint="eastAsia" w:ascii="仿宋" w:hAnsi="仿宋" w:eastAsia="仿宋" w:cs="仿宋"/>
          <w:sz w:val="32"/>
          <w:szCs w:val="32"/>
        </w:rPr>
        <w:t>相关政策规定，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下半年需</w:t>
      </w:r>
      <w:r>
        <w:rPr>
          <w:rFonts w:hint="eastAsia" w:ascii="仿宋" w:hAnsi="仿宋" w:eastAsia="仿宋" w:cs="仿宋"/>
          <w:sz w:val="32"/>
          <w:szCs w:val="32"/>
        </w:rPr>
        <w:t>确保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净资产额度以保障</w:t>
      </w:r>
      <w:r>
        <w:rPr>
          <w:rFonts w:hint="eastAsia" w:ascii="仿宋" w:hAnsi="仿宋" w:eastAsia="仿宋" w:cs="仿宋"/>
          <w:sz w:val="32"/>
          <w:szCs w:val="32"/>
        </w:rPr>
        <w:t>基金会持续稳定的开展各项公益慈善事业。</w:t>
      </w:r>
    </w:p>
    <w:p w14:paraId="1C47E2D3">
      <w:pPr>
        <w:spacing w:line="52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四、基金会实物资产</w:t>
      </w:r>
    </w:p>
    <w:p w14:paraId="151B102A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截止2025年1-6月份基金会原库存马甲100件，上半年领用12件，剩余88件。基金会对现有固定资产已完成盘点，做到账实相符、账账相符。</w:t>
      </w:r>
    </w:p>
    <w:p w14:paraId="3989C7A2">
      <w:pPr>
        <w:ind w:firstLine="3520" w:firstLineChars="1100"/>
        <w:rPr>
          <w:rFonts w:ascii="仿宋" w:hAnsi="仿宋" w:eastAsia="仿宋" w:cs="仿宋"/>
          <w:sz w:val="32"/>
          <w:szCs w:val="32"/>
        </w:rPr>
      </w:pPr>
    </w:p>
    <w:p w14:paraId="7DE7C2B0">
      <w:pPr>
        <w:ind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</w:t>
      </w:r>
      <w:r>
        <w:rPr>
          <w:rFonts w:hint="eastAsia" w:ascii="仿宋" w:hAnsi="仿宋" w:eastAsia="仿宋" w:cs="仿宋"/>
          <w:sz w:val="32"/>
          <w:szCs w:val="32"/>
        </w:rPr>
        <w:t>普觉公益基金会财务部</w:t>
      </w:r>
    </w:p>
    <w:p w14:paraId="4CB85CA2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10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9E52A5-7EED-4496-ACED-C2B3D5A0E3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8DA9FF2-42DF-4C32-9882-BE034EB4CEE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45784F4-CA1C-4456-9828-6A35F95687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764B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1E94BF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1E94BF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ZDBjOTZlNGFmZTNmNzYwZGMwMmNlNTk1ZmU4NzAifQ=="/>
  </w:docVars>
  <w:rsids>
    <w:rsidRoot w:val="431E2198"/>
    <w:rsid w:val="002868FE"/>
    <w:rsid w:val="00954D35"/>
    <w:rsid w:val="00A91938"/>
    <w:rsid w:val="00B347E2"/>
    <w:rsid w:val="023D1B4B"/>
    <w:rsid w:val="03C30C20"/>
    <w:rsid w:val="046A71ED"/>
    <w:rsid w:val="04A22F2C"/>
    <w:rsid w:val="079E3E7E"/>
    <w:rsid w:val="07B914A1"/>
    <w:rsid w:val="0AED49F2"/>
    <w:rsid w:val="0B5305BB"/>
    <w:rsid w:val="0BA92DA1"/>
    <w:rsid w:val="0C472044"/>
    <w:rsid w:val="0D29094E"/>
    <w:rsid w:val="0D346A4C"/>
    <w:rsid w:val="0D417786"/>
    <w:rsid w:val="0D92714F"/>
    <w:rsid w:val="0DC74FEA"/>
    <w:rsid w:val="0F9C52A7"/>
    <w:rsid w:val="108E33A2"/>
    <w:rsid w:val="13922CE2"/>
    <w:rsid w:val="15BA7257"/>
    <w:rsid w:val="16890915"/>
    <w:rsid w:val="170550F2"/>
    <w:rsid w:val="175D5EE1"/>
    <w:rsid w:val="17AF62C3"/>
    <w:rsid w:val="17E92EF4"/>
    <w:rsid w:val="19404D78"/>
    <w:rsid w:val="19877AF0"/>
    <w:rsid w:val="19EF7BA4"/>
    <w:rsid w:val="1A4A0BDC"/>
    <w:rsid w:val="1D320E99"/>
    <w:rsid w:val="20A53730"/>
    <w:rsid w:val="21571A95"/>
    <w:rsid w:val="21C12D42"/>
    <w:rsid w:val="229D62D6"/>
    <w:rsid w:val="23F70746"/>
    <w:rsid w:val="250B7D9B"/>
    <w:rsid w:val="25EC3819"/>
    <w:rsid w:val="28A658D5"/>
    <w:rsid w:val="28DA2E2B"/>
    <w:rsid w:val="2AA45611"/>
    <w:rsid w:val="2AB8653E"/>
    <w:rsid w:val="2C3E114A"/>
    <w:rsid w:val="2CDA35B7"/>
    <w:rsid w:val="2D5B66A8"/>
    <w:rsid w:val="2DA37249"/>
    <w:rsid w:val="2FAB0884"/>
    <w:rsid w:val="31A84B64"/>
    <w:rsid w:val="31AB0563"/>
    <w:rsid w:val="37B25C6C"/>
    <w:rsid w:val="39AC4ED0"/>
    <w:rsid w:val="3C2E54F5"/>
    <w:rsid w:val="3C884ADD"/>
    <w:rsid w:val="3D0870C9"/>
    <w:rsid w:val="400B75FC"/>
    <w:rsid w:val="410D2284"/>
    <w:rsid w:val="411B2A74"/>
    <w:rsid w:val="4168282C"/>
    <w:rsid w:val="41CB3D94"/>
    <w:rsid w:val="42E07CE0"/>
    <w:rsid w:val="431E2198"/>
    <w:rsid w:val="446D7F06"/>
    <w:rsid w:val="47646964"/>
    <w:rsid w:val="47A143A2"/>
    <w:rsid w:val="48225304"/>
    <w:rsid w:val="49DD47FC"/>
    <w:rsid w:val="4A0A512A"/>
    <w:rsid w:val="4D297313"/>
    <w:rsid w:val="4E854A1D"/>
    <w:rsid w:val="4FC61AF3"/>
    <w:rsid w:val="50193243"/>
    <w:rsid w:val="52094324"/>
    <w:rsid w:val="520A3BFB"/>
    <w:rsid w:val="52FF14F8"/>
    <w:rsid w:val="53FB2177"/>
    <w:rsid w:val="54A3007E"/>
    <w:rsid w:val="55561479"/>
    <w:rsid w:val="569021B1"/>
    <w:rsid w:val="56F874E3"/>
    <w:rsid w:val="573A3ECB"/>
    <w:rsid w:val="575675DF"/>
    <w:rsid w:val="57BA1C29"/>
    <w:rsid w:val="580309FC"/>
    <w:rsid w:val="580967CF"/>
    <w:rsid w:val="58C12AF6"/>
    <w:rsid w:val="59F9213B"/>
    <w:rsid w:val="5A982A47"/>
    <w:rsid w:val="5B294982"/>
    <w:rsid w:val="5BE32D83"/>
    <w:rsid w:val="62AC3ECF"/>
    <w:rsid w:val="62C8782A"/>
    <w:rsid w:val="63F66C1A"/>
    <w:rsid w:val="64F25BA3"/>
    <w:rsid w:val="66A65723"/>
    <w:rsid w:val="66DE4873"/>
    <w:rsid w:val="6732696D"/>
    <w:rsid w:val="6C434CDD"/>
    <w:rsid w:val="6DFA01F9"/>
    <w:rsid w:val="6FD43070"/>
    <w:rsid w:val="6FEF1D95"/>
    <w:rsid w:val="70C25CC9"/>
    <w:rsid w:val="721E450C"/>
    <w:rsid w:val="721F290F"/>
    <w:rsid w:val="7A3A2340"/>
    <w:rsid w:val="7AB42844"/>
    <w:rsid w:val="7B7B0D38"/>
    <w:rsid w:val="7D771455"/>
    <w:rsid w:val="7F2D30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1868</Words>
  <Characters>2547</Characters>
  <Lines>20</Lines>
  <Paragraphs>5</Paragraphs>
  <TotalTime>40</TotalTime>
  <ScaleCrop>false</ScaleCrop>
  <LinksUpToDate>false</LinksUpToDate>
  <CharactersWithSpaces>2590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2022-08-23T02:22:00Z</dcterms:created>
  <dc:creator>CAIWU</dc:creator>
  <cp:lastModifiedBy>杨杨跨境</cp:lastModifiedBy>
  <dcterms:modified xsi:type="dcterms:W3CDTF">2025-07-24T00:39:51Z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7A59E671BAE047C480FF91931CC59A07_13</vt:lpwstr>
  </property>
  <property fmtid="{D5CDD505-2E9C-101B-9397-08002B2CF9AE}" pid="4" name="KSOTemplateDocerSaveRecord">
    <vt:lpwstr>eyJoZGlkIjoiYzY0MDE2MmJlMTZhNDQzNTY5NzJhZWQyYzU2ZTNkODciLCJ1c2VySWQiOiIxNjExMDc3OTc3In0=</vt:lpwstr>
  </property>
</Properties>
</file>